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-202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年度云南省油菜品种区域试验</w:t>
      </w:r>
    </w:p>
    <w:p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项目实施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方案</w:t>
      </w:r>
      <w:r>
        <w:rPr>
          <w:rFonts w:hint="eastAsia" w:eastAsia="黑体"/>
          <w:b/>
          <w:sz w:val="36"/>
        </w:rPr>
        <w:t xml:space="preserve"> </w:t>
      </w:r>
    </w:p>
    <w:p>
      <w:pPr>
        <w:numPr>
          <w:ilvl w:val="0"/>
          <w:numId w:val="0"/>
        </w:numPr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一、项目来源</w:t>
      </w:r>
    </w:p>
    <w:p>
      <w:pPr>
        <w:numPr>
          <w:ilvl w:val="0"/>
          <w:numId w:val="0"/>
        </w:numPr>
        <w:spacing w:line="240" w:lineRule="auto"/>
        <w:ind w:firstLine="562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云南省农业农村厅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8" w:leftChars="0" w:firstLine="562" w:firstLineChars="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主持单位、人员及任务分工</w:t>
      </w:r>
    </w:p>
    <w:tbl>
      <w:tblPr>
        <w:tblStyle w:val="7"/>
        <w:tblW w:w="939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170"/>
        <w:gridCol w:w="1240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主持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4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云南省种子管理站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温宪勤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沈成春</w:t>
            </w:r>
          </w:p>
        </w:tc>
        <w:tc>
          <w:tcPr>
            <w:tcW w:w="4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项目实施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统筹管理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制定项目实施方案、完成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数据分析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汇总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" w:leftChars="0" w:firstLine="562" w:firstLineChars="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承担单位、人员及任务分工</w:t>
      </w:r>
    </w:p>
    <w:tbl>
      <w:tblPr>
        <w:tblStyle w:val="7"/>
        <w:tblW w:w="936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1150"/>
        <w:gridCol w:w="1610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承担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执行人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昭通市种子管理站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阮荣辉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柯昌明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完成田间试验及观察记载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大理州农科院农技推广站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段忠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伊应良、张艳明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完成田间试验及观察记载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保山市种子管理站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杨向红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杨向红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完成田间试验及观察记载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临沧市种子管理站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杨国明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杨国明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完成田间试验及观察记载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文山州种子管理站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李丁未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杨正发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完成田间试验及观察记载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玉溪市农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刘坚坚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刘坚坚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完成田间试验及观察记载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红河州种子管理站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宁格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李绍梅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完成田间试验及观察记载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麒麟区种子管理站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周林红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周林红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完成田间试验及观察记载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、试验目的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为鉴定新育成油菜品种的丰产性、抗逆性、适应性、和品质等综合性状，并为品种合理布局、推广应用和品种登记提供科学依据，特制定本实施方案。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、参试品种及供种单位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年度云南省油菜区域试验共设2组，为普通油菜组和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杂交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油菜组。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普通油菜组</w:t>
      </w:r>
    </w:p>
    <w:tbl>
      <w:tblPr>
        <w:tblStyle w:val="7"/>
        <w:tblW w:w="905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899"/>
        <w:gridCol w:w="3152"/>
        <w:gridCol w:w="137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编号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品种(系)名称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选育及供种单位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楚油7号</w:t>
            </w:r>
          </w:p>
        </w:tc>
        <w:tc>
          <w:tcPr>
            <w:tcW w:w="3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楚雄彝族自治州农业科学院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赵德胜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13577826400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楚油8号</w:t>
            </w:r>
          </w:p>
        </w:tc>
        <w:tc>
          <w:tcPr>
            <w:tcW w:w="3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保油D12</w:t>
            </w:r>
          </w:p>
        </w:tc>
        <w:tc>
          <w:tcPr>
            <w:tcW w:w="3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保山市农业技术推广中心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杜新雄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15974971671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保油D17</w:t>
            </w:r>
          </w:p>
        </w:tc>
        <w:tc>
          <w:tcPr>
            <w:tcW w:w="3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云油240500</w:t>
            </w:r>
          </w:p>
        </w:tc>
        <w:tc>
          <w:tcPr>
            <w:tcW w:w="3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云南省农业科学院经济作物研究所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罗延青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13708844720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云油241300</w:t>
            </w:r>
          </w:p>
        </w:tc>
        <w:tc>
          <w:tcPr>
            <w:tcW w:w="3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云油24C02</w:t>
            </w:r>
          </w:p>
        </w:tc>
        <w:tc>
          <w:tcPr>
            <w:tcW w:w="3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玉红油12号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玉溪市红塔区种植业发展服务中心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普连荣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18887723149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玉油16号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玉溪市农业科学院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刘坚坚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13987769797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花油8号（CK）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云南省农业科学院经济作物研究所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罗延青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13708844720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交杂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油菜组</w:t>
      </w:r>
    </w:p>
    <w:tbl>
      <w:tblPr>
        <w:tblStyle w:val="7"/>
        <w:tblW w:w="903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283"/>
        <w:gridCol w:w="3130"/>
        <w:gridCol w:w="125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编号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品种(系)名称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选育及供种单位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BS720R</w:t>
            </w:r>
          </w:p>
        </w:tc>
        <w:tc>
          <w:tcPr>
            <w:tcW w:w="313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保山市农业技术推广中心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杜新雄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15974971671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BS10R</w:t>
            </w:r>
          </w:p>
        </w:tc>
        <w:tc>
          <w:tcPr>
            <w:tcW w:w="3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云油杂240501</w:t>
            </w:r>
          </w:p>
        </w:tc>
        <w:tc>
          <w:tcPr>
            <w:tcW w:w="3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云南省农业科学院经济作物研究所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罗延青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13708844720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云油杂240704</w:t>
            </w:r>
          </w:p>
        </w:tc>
        <w:tc>
          <w:tcPr>
            <w:tcW w:w="3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云油杂240902</w:t>
            </w:r>
          </w:p>
        </w:tc>
        <w:tc>
          <w:tcPr>
            <w:tcW w:w="3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云油杂241402</w:t>
            </w:r>
          </w:p>
        </w:tc>
        <w:tc>
          <w:tcPr>
            <w:tcW w:w="3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云油杂241405</w:t>
            </w:r>
          </w:p>
        </w:tc>
        <w:tc>
          <w:tcPr>
            <w:tcW w:w="3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云油杂F059</w:t>
            </w:r>
          </w:p>
        </w:tc>
        <w:tc>
          <w:tcPr>
            <w:tcW w:w="3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云油杂F098</w:t>
            </w:r>
          </w:p>
        </w:tc>
        <w:tc>
          <w:tcPr>
            <w:tcW w:w="3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云油杂F129</w:t>
            </w:r>
          </w:p>
        </w:tc>
        <w:tc>
          <w:tcPr>
            <w:tcW w:w="3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云油杂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号（CK）</w:t>
            </w:r>
          </w:p>
        </w:tc>
        <w:tc>
          <w:tcPr>
            <w:tcW w:w="3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-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、试验供种及验收要求</w:t>
      </w:r>
    </w:p>
    <w:p>
      <w:pPr>
        <w:keepNext w:val="0"/>
        <w:keepLines w:val="0"/>
        <w:pageBreakBefore w:val="0"/>
        <w:tabs>
          <w:tab w:val="left" w:pos="-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8" w:firstLineChars="196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、供种要求：试验用种要求用非包衣种子，各供种单位应及时将参试种子邮寄到各试验点，标明发芽率及栽培密度，并提供足够的的种子。</w:t>
      </w:r>
    </w:p>
    <w:p>
      <w:pPr>
        <w:keepNext w:val="0"/>
        <w:keepLines w:val="0"/>
        <w:pageBreakBefore w:val="0"/>
        <w:tabs>
          <w:tab w:val="left" w:pos="-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8" w:firstLineChars="196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、种子查验：各承试单位收到试验种子后应及时对品种名称、种子量进行检查，发现问题请及时与供种单位及云南省种子管理站联系。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、试验要求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各试点承试人员要有责任感，认真负责，严格执行方案，按记载本要求规范观察记载、科学统计汇总、客观公正评价，及时报送试验总结。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试验地选择：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试验田（地）要有代表性、地势平坦、通风向阳、排灌方便、肥力均匀、土壤肥力中等、不受遮阴影响、前作一至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农药残留低（特别注意前作除草剂使用种类和数量）的田块执行试验。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试验设计：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试验采用随机区组排列，3次重复，小区净面积10㎡，重复间设走道，四周设保护行,保护行数目不少于四行。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适时播种：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播种期应为当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地大面积播种期间的最佳时期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,播种量根据供种单位提供的发芽率及栽培密度计算，同组试验所有参试品种在同一天内播完。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   田间管理：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当地大面积生产中上等栽培管理水平进行田间管理，只防虫不防病，只除草不去杂，根据当地实际需要施用硼肥（可用硼砂1kg/亩做底肥）。试验地栽培管理措施要及时、一致，同一项措施要同一天内完成。适时收获，按成熟期早晚，成熟一个品种收获一个品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专人负责：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各试点务必专人负责试验，田间调查记载与考种项目严格按记载本和田间记载标准（见附录A）要求进行。未按方案执行或有违方案的参试品种和试点，其试验结果不纳入汇总。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品质、抗病、转基因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品质测定：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取样交云南省种子管理站，由云南省种子管理站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混合后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资质的检测单位检测。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抗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鉴定: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年由选育单位提供种子到云南省种子管理站，由云南省种子管理站委托云南省抗性鉴定站统一实施。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转基因检测：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年由选育单位提供种子到云南省种子管理站，由云南省种子管理站委托云南省农业科学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院质量标准与检测技术研究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1、参试种：除规定的参试种外，各试点不得另行增加其它品种，在同一轮试验中不能更换对照。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试验全过程必须按统一设计的方案进行，调查及记载项目必须完成，不能减少，严格按照《云南省油菜新品种区域试验记载本》（附录B）要求认真记载。田间管理方法按设计内容进行，没有特殊情况不宜另行增加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3、试验结束后将结果填入统一印发的《云南省油菜新品种区域试验记载本》表格里。6月5日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前将试验记载本先用电子邮件发送到省种子管理站，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6月30日前将试验观察记载本、总结（加盖公章）寄送省种子管理站供汇总分析。请各试点务必认真负责，并翔实记载，及时报送。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4、试验主持单位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及负责人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:云南省种子管理站，温宪勤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沈成春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；通讯地址：昆明市茭菱路24号； 邮编：650031；联系电话：0871-65384195；邮箱：wenxianqin@126.com）。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                                   云南省种子管理站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                                   202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日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附录A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油菜品种区域记载项目及标准</w:t>
      </w:r>
    </w:p>
    <w:p>
      <w:pPr>
        <w:tabs>
          <w:tab w:val="left" w:pos="7727"/>
        </w:tabs>
        <w:adjustRightInd w:val="0"/>
        <w:spacing w:line="3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1、物候期观察记载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（1）播种期：实际播种日期(以月/日表示，以下同),如遇特别干旱不能及时出苗，需记载播种后降雨及灌溉情况。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（2）出苗期：预选密度的75%的幼苗出土，子叶平展张开；穴播以穴计算，条播以面积计算。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（3）移栽期：实际移栽日期。（直播的不记）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（4）抽苔期：50%以上植株主茎开始延伸，主茎顶端离子叶节达10cm。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（5）初花期：全区有25%的植株开始开花。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（6）盛花期：全区有75%以上植株已经开花为标准。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（7）终花期：全区有75%以上花序完全谢花(花瓣变色，开始枯萎)。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（8）成熟期：全区有50%以上角果转黄变色，且主花序中下部角果的种子呈成熟为标准。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（9）收获期：实际收获日期。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（10）生育期：播种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至成熟的天数。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以24小时为一天。</w:t>
      </w:r>
    </w:p>
    <w:p>
      <w:pPr>
        <w:tabs>
          <w:tab w:val="left" w:pos="7727"/>
        </w:tabs>
        <w:adjustRightInd w:val="0"/>
        <w:spacing w:line="340" w:lineRule="exact"/>
        <w:ind w:firstLine="451" w:firstLineChars="187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2、植物学特征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（1）叶片形状：定苗后10天调查，目测完全展开叶片形状，按叶片边缘分为缺刻、全缘、波状、齿状。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（2）叶片绿色程度：定苗后10天调查，根据观察叶形部位叶片的叶色，分为浅绿色、中绿色、深绿色。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（3）花瓣相对位置和颜色：盛花期观察调查，花瓣相对位置，分为分离、侧叠。花瓣颜色分为金黄色、黄色、浅黄色、白色、乳白色、粉色、深红色、浅紫色、深紫色等。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（4）植株茎秆颜色：抽薹期观察，主茎花青苷显色，分为无、弱、强。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（5）植株高度：成熟期时，每小区同一行内连续调查10株长势中等、生长正常的植株，不得取边行边株。自子叶节至全株最高部分长度，以cm表示。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（6）籽粒颜色：成熟收获晒干后，观察籽粒颜色，分为深褐色、褐色、浅褐色、红褐色、棕褐色、黑褐色、黄色、金黄色、浅黄色、花籽等。</w:t>
      </w:r>
    </w:p>
    <w:p>
      <w:pPr>
        <w:tabs>
          <w:tab w:val="left" w:pos="7727"/>
        </w:tabs>
        <w:adjustRightInd w:val="0"/>
        <w:spacing w:line="340" w:lineRule="exact"/>
        <w:ind w:firstLine="451" w:firstLineChars="187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3、生物学特征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（1）植株生长习性：定苗期后10天调查，考察主茎与叶面之间的夹角。分类标标准：夹角≤45°为直立，45°＜夹角＞90°为半直立，夹角≥90°为匍匐。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（2）幼苗生长整齐度：于五叶期前后观察幼苗之大小，叶片之多少。有80%以上幼苗一致者为“齐”；60%-80%幼苗一致者为“中”；生长一致的幼苗不足60%者为“不齐”。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（3）植株生长整齐度：于抽苔盛期观察植株的高低、大小和株型。有80%以上植株一致者为“齐”；60-80%植株一致者为“中”；生长一致的植株不足60%者为“不齐”。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（4）成熟整齐度：于成熟时观察，有80%以上植株成熟一致者为“齐”；60%-80%植株一致者为“中”；成熟一致的植株不足60%者为“不齐”。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（5）异型株率：在盛花初期调查，整株花朵无花粉或仅有微量花粉的植株和株型、颜色明显差异的植株即为异型株。全小区调查，至少调查一个重复。异型株率用异型株数占调查总株数的百分比表示。</w:t>
      </w:r>
    </w:p>
    <w:p>
      <w:pPr>
        <w:tabs>
          <w:tab w:val="left" w:pos="7727"/>
        </w:tabs>
        <w:adjustRightInd w:val="0"/>
        <w:spacing w:line="3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4、经济产量性状等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由于品系（组合）自身和各小区之间的差异，田间试验株间长势差别较大，成熟前取样时宜在各区同一行数内连续取样10株，要力争避免人为影响。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（1）一次有效分株数：指主茎上具有1个以上有效角果的第一次分枝数，以个表示，精确到0.1。</w:t>
      </w:r>
    </w:p>
    <w:p>
      <w:pPr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一次有效分枝部位：指第一次有效分枝离子叶节的长度，以“cm”表示 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（3）主花序有效长度：指主花序顶端最上1个有效角果着生点至主花序基部最下一个有效角果着生点的长度，以cm表示，精确到0.1。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（4）单株有效角果数：指全株含有1粒以上饱满或欠饱满种子的角果数，以个表示，精确到0.1。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（5）每角粒数：自主花序上，随机摘取10个正常角果，计算平均每角饱满的种子数，以粒表示，精确到0.1。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（6）千粒重：在晒干（含水量不高于9%）、纯净的种子内，用对角线、四分法或分样器等方法取样3份，从中各数1000粒，分别称重，取平均数，以g表示，精确到0.01。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（7）单株产量：指考种单株的平均产量，以g表示，精确到0.01。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8）小区产量：收获时各小区重复一定要单收单打，收获脱粒的种子量为实收产量，以“kg”表示。精确到0.01。种子晒干后（含水量不高于0.9%），用电子天平准确地称出小区实际产量（kg），保留到小数点后两位；</w:t>
      </w:r>
    </w:p>
    <w:p>
      <w:pPr>
        <w:spacing w:line="3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（9）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以小区产量换算求得亩产量，以kg表示，保留到小数点后一位；</w:t>
      </w:r>
    </w:p>
    <w:p>
      <w:pPr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（10）取样：收获计产后，每个品种都要求取同一品种三重复的混合样（50克）寄往区试主持单位。</w:t>
      </w:r>
    </w:p>
    <w:p>
      <w:pPr>
        <w:spacing w:line="3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（11）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产量统计分析：按供试品系（组合）代号列出小区产量表，小区产量必须加上取样考种单株产量；列出产量分析表，包括各供试品系（组合）代号的小区平均产量、折合亩产量、产量位次；列出经济性状、抗耐性、考种、生育期等调查表;写出区域试验总结报告并进行品种简评。</w:t>
      </w:r>
    </w:p>
    <w:p>
      <w:pPr>
        <w:tabs>
          <w:tab w:val="left" w:pos="7727"/>
        </w:tabs>
        <w:adjustRightInd w:val="0"/>
        <w:spacing w:line="3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5 、抗逆性调查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（1）抗寒性(冻害)：</w:t>
      </w:r>
    </w:p>
    <w:p>
      <w:pPr>
        <w:spacing w:line="340" w:lineRule="exact"/>
        <w:ind w:firstLine="628" w:firstLineChars="26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冻害症状：</w:t>
      </w:r>
    </w:p>
    <w:p>
      <w:pPr>
        <w:spacing w:line="340" w:lineRule="exact"/>
        <w:ind w:firstLine="628" w:firstLineChars="26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1 \* GB3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根拔（又称抬根或掀苗）现象  当气温下降至-0.5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C以下时，夜间根际土壤结冰，体积膨大，将根抬起，白天气温升高，冻土融化下沉，致使苗根外露而受冻。</w:t>
      </w:r>
    </w:p>
    <w:p>
      <w:pPr>
        <w:spacing w:line="340" w:lineRule="exact"/>
        <w:ind w:firstLine="628" w:firstLineChars="26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2 \* GB3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叶片受冻  叶片受冻有三种最常见的现象：叶片僵化：叶片在早晨全部僵化，表现为细胞间隙结冰，叶片呈油绿色，脆而易断，到中午前后随着气温的升高，僵化叶片逐渐融化变软而复原，如温度再低或低温持续时间较长，则叶片因细胞内结冰失水而枯萎；叶片皱缩：表现为叶背表皮细胞受冻，在气温回升时，叶片继续长大而表皮不增大，因而使叶片皱缩，严重时表皮会自行破裂。叶片发紫：由于低温影响，根系吸收力减弱，引起生理缺肥，叶绿素合成受阻，花青素大量显现，使叶片呈紫红色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3 \* GB3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蕾薹受冻  春性较强的早熟品种在早播或秋冬气温较高的情况下，早期现蕾抽薹，并出现早花现象，耐寒能力显著下降，只要出现0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C以下的低温，蕾薹就会受冻。轻者花蕾变红后掉落，不结实；重者蕾薹萎缩下垂，甚至全部死亡。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在融雪或严重霜冻解冻后三至五天观察。以随机取样法每小区调查100株。</w:t>
      </w:r>
    </w:p>
    <w:p>
      <w:pPr>
        <w:spacing w:line="340" w:lineRule="exact"/>
        <w:ind w:left="62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冻害分级标准和计算公式：</w:t>
      </w:r>
    </w:p>
    <w:tbl>
      <w:tblPr>
        <w:tblStyle w:val="7"/>
        <w:tblW w:w="0" w:type="auto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3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520" w:type="dxa"/>
            <w:vMerge w:val="restart"/>
            <w:vAlign w:val="center"/>
          </w:tcPr>
          <w:p>
            <w:pPr>
              <w:tabs>
                <w:tab w:val="left" w:pos="7727"/>
              </w:tabs>
              <w:adjustRightInd w:val="0"/>
              <w:spacing w:line="34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①冻害株率(%)=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tabs>
                <w:tab w:val="left" w:pos="2958"/>
                <w:tab w:val="left" w:pos="7727"/>
              </w:tabs>
              <w:adjustRightIn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受冻害株数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tabs>
                <w:tab w:val="left" w:pos="7727"/>
              </w:tabs>
              <w:adjustRightInd w:val="0"/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×100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tabs>
                <w:tab w:val="left" w:pos="2958"/>
                <w:tab w:val="left" w:pos="7727"/>
              </w:tabs>
              <w:adjustRightIn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调查总株数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②冻害指数：对调查植株逐株确定冻害程度，冻害程度分0、1、2、3、4等五级，各级标准如下：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“0”级：植株正常，未受冻害；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“1”级：仅个别大叶受害，受害叶层局部萎缩呈灰白色；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“2”级：有半数叶片受害，受害叶层局部或大部萎缩、焦枯，但心叶正常；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“3”级：全部叶片大部受害，受害叶局部或大部萎缩、焦枯，心叶正常或受轻微冻害，植株尚能恢复生长；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“4”级：全部大叶和心叶均受冻害，趋向死亡。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分株调查后，按下列公式计算冻害指数：</w: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9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340" w:type="dxa"/>
            <w:vMerge w:val="restart"/>
            <w:vAlign w:val="center"/>
          </w:tcPr>
          <w:p>
            <w:pPr>
              <w:tabs>
                <w:tab w:val="left" w:pos="7727"/>
              </w:tabs>
              <w:adjustRightInd w:val="0"/>
              <w:spacing w:line="3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冻害指数(%)=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tabs>
                <w:tab w:val="left" w:pos="2958"/>
                <w:tab w:val="left" w:pos="7727"/>
              </w:tabs>
              <w:adjustRightIn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1×S1+2×S2+3×S3+4×S4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tabs>
                <w:tab w:val="left" w:pos="7727"/>
              </w:tabs>
              <w:adjustRightInd w:val="0"/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×100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tabs>
                <w:tab w:val="left" w:pos="2958"/>
                <w:tab w:val="left" w:pos="7727"/>
              </w:tabs>
              <w:adjustRightIn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调查总株数×4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40" w:lineRule="exact"/>
        <w:ind w:firstLine="628" w:firstLineChars="26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式中:S1、S2、S3、S4为1-4级各级冻害株数.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 耐旱性：在干旱年份调查，以强、中、弱表示。叶色正常为强；暗淡无光为中；黄化并呈凋萎为弱。</w:t>
      </w:r>
    </w:p>
    <w:p>
      <w:pPr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（3）耐渍性：</w:t>
      </w:r>
    </w:p>
    <w:p>
      <w:pPr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渍害症状</w:t>
      </w:r>
    </w:p>
    <w:p>
      <w:pPr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苗期渍害主要表现在叶片颜色上，受渍叶片转为紫红直至根系变褐变黑趋于死亡；花荚期渍害主要表现在植株生长势上，受渍植株茎秆叶片紫红，生长势差，整株萎蔫。</w:t>
      </w:r>
    </w:p>
    <w:p>
      <w:pPr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在多雨渍涝年份调查，以强、中、弱表示。叶色正常、根系嫩白为耐渍性强；叶色转紫红、根系褐色为耐渍性中；全株紫红且根呈黑色趋于死亡为耐渍性弱。</w:t>
      </w:r>
    </w:p>
    <w:p>
      <w:pPr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（4）抗倒性：在成熟期调查植株倒伏情况，分直、斜、倒三级。主茎下部与地面夹角角度≥80°为直； 80°＞夹角角度≥45°为斜，夹角角度＜45°为倒。并注明倒伏原因和日期。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（5）病毒病：</w:t>
      </w:r>
    </w:p>
    <w:p>
      <w:pPr>
        <w:spacing w:line="340" w:lineRule="exact"/>
        <w:ind w:firstLine="523" w:firstLineChars="2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病毒病发病症状  </w:t>
      </w:r>
    </w:p>
    <w:p>
      <w:pPr>
        <w:spacing w:line="340" w:lineRule="exact"/>
        <w:ind w:firstLine="523" w:firstLineChars="2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病毒病又名花叶病，属病毒病害。甘蓝型油菜发病后的症状如下：</w:t>
      </w:r>
    </w:p>
    <w:p>
      <w:pPr>
        <w:spacing w:line="340" w:lineRule="exact"/>
        <w:ind w:firstLine="523" w:firstLineChars="2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1 \* GB3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叶片：呈橙黄色圆形或不规则病斑，叶片反面病斑中心为黑色，边缘黄色，分界明显，后变成枯斑。</w:t>
      </w:r>
    </w:p>
    <w:p>
      <w:pPr>
        <w:spacing w:line="340" w:lineRule="exact"/>
        <w:ind w:firstLine="523" w:firstLineChars="2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2 \* GB3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茎：生黑褐色枯死条纹，成油渍状，有时也产生黑褐色梭形斑点，并形成同心圆。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3 \* GB3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角果：生黑色小斑，发病早则引起早衰死亡，后期发病则角果歪扭，籽粒不饱满。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于苗期、成熟前各调查一次。每小区采取随机取样法调查100株，按分级标准逐株调查记载，统计发病百分率和发病指数，计算方法同冻害指数和冻害百分率。</w:t>
      </w:r>
    </w:p>
    <w:p>
      <w:pPr>
        <w:tabs>
          <w:tab w:val="left" w:pos="7727"/>
        </w:tabs>
        <w:adjustRightInd w:val="0"/>
        <w:spacing w:line="340" w:lineRule="exact"/>
        <w:ind w:firstLine="540" w:firstLineChars="22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“0”级：无病；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“1”级：仅1-2片边叶有病斑，心叶无病；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“2”级：少数边叶(2片左右)、心叶均有病斑，但植株生长正常；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“3”级：全株大部叶片(包括心叶)均产生系统病斑，上部叶片皱缩畸形；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“4”级：全株大部叶片均有系统病斑，部分病叶枯凋，植株枯死或趋枯死。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（6）菌核病：</w:t>
      </w:r>
    </w:p>
    <w:p>
      <w:pPr>
        <w:tabs>
          <w:tab w:val="left" w:pos="7727"/>
        </w:tabs>
        <w:adjustRightInd w:val="0"/>
        <w:spacing w:line="340" w:lineRule="exact"/>
        <w:ind w:firstLine="523" w:firstLineChars="2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菌核病症状：</w:t>
      </w:r>
    </w:p>
    <w:p>
      <w:pPr>
        <w:tabs>
          <w:tab w:val="left" w:pos="7727"/>
        </w:tabs>
        <w:adjustRightInd w:val="0"/>
        <w:spacing w:line="3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菌核病属真菌性病害。茎、叶、花、角均可发病，花瓣、老叶先发病，茎部最重。</w:t>
      </w:r>
    </w:p>
    <w:p>
      <w:pPr>
        <w:tabs>
          <w:tab w:val="left" w:pos="7727"/>
        </w:tabs>
        <w:adjustRightInd w:val="0"/>
        <w:spacing w:line="340" w:lineRule="exact"/>
        <w:ind w:firstLine="523" w:firstLineChars="2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1 \* GB3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花瓣：呈苍黄色。</w:t>
      </w:r>
    </w:p>
    <w:p>
      <w:pPr>
        <w:tabs>
          <w:tab w:val="left" w:pos="7727"/>
        </w:tabs>
        <w:adjustRightInd w:val="0"/>
        <w:spacing w:line="340" w:lineRule="exact"/>
        <w:ind w:firstLine="523" w:firstLineChars="2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2 \* GB3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叶片：病斑圆形不规则，中部黄褐色，边缘暗青色，水渍状，外围褪绿，有时出现轮纹。</w:t>
      </w:r>
    </w:p>
    <w:p>
      <w:pPr>
        <w:tabs>
          <w:tab w:val="left" w:pos="7727"/>
        </w:tabs>
        <w:adjustRightInd w:val="0"/>
        <w:spacing w:line="340" w:lineRule="exact"/>
        <w:ind w:firstLine="523" w:firstLineChars="2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3 \* GB3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茎秆：初为淡褐色，水渍状，梭形斑，潮湿时病斑表面长出白毛状菌丝。以后表皮纵裂似麻状，易折断，表面及内部生鼠粪状菌核。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4 \* GB3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角果：症状与茎秆相似。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于成熟时调查一次，取样调查方法和发病率、发病指数计算的方法同冻害百分率和冻害指数。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“0”级：全株茎、枝、果轴无症状；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“1”级：全株1/3以下分枝数（含果轴，下同）发病或主茎有小型病斑；全株受害角果数（含病害引起的非生理性早熟和不结实，下同）在1/4以下；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“2”级：全株1/3-2/3分枝数发病，或分枝发病数在1/3以下而主茎中上部有大型病斑，全株受害角果数达1/4-2/4；</w:t>
      </w:r>
    </w:p>
    <w:p>
      <w:pPr>
        <w:tabs>
          <w:tab w:val="left" w:pos="7727"/>
        </w:tabs>
        <w:adjustRightInd w:val="0"/>
        <w:spacing w:line="340" w:lineRule="exact"/>
        <w:ind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“3”级：全株2/3以上分枝数发病，或分枝发病数在2/3以下而主茎中下部有大型病斑；全株受害角果数达2/4-3/4；</w:t>
      </w:r>
    </w:p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“4”级：全株绝大部分分枝发病，或主茎有多数病斑，或主茎下部有大型绕茎病斑；全株受害角果数达3/4以上。</w:t>
      </w:r>
    </w:p>
    <w:tbl>
      <w:tblPr>
        <w:tblStyle w:val="7"/>
        <w:tblW w:w="0" w:type="auto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3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520" w:type="dxa"/>
            <w:vMerge w:val="restart"/>
            <w:vAlign w:val="center"/>
          </w:tcPr>
          <w:p>
            <w:pPr>
              <w:tabs>
                <w:tab w:val="left" w:pos="7727"/>
              </w:tabs>
              <w:adjustRightInd w:val="0"/>
              <w:spacing w:line="34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发株率(%)=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tabs>
                <w:tab w:val="left" w:pos="2958"/>
                <w:tab w:val="left" w:pos="7727"/>
              </w:tabs>
              <w:adjustRightIn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病株数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tabs>
                <w:tab w:val="left" w:pos="7727"/>
              </w:tabs>
              <w:adjustRightInd w:val="0"/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×100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tabs>
                <w:tab w:val="left" w:pos="2958"/>
                <w:tab w:val="left" w:pos="7727"/>
              </w:tabs>
              <w:adjustRightIn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调查总株数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9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340" w:type="dxa"/>
            <w:vMerge w:val="restart"/>
            <w:vAlign w:val="center"/>
          </w:tcPr>
          <w:p>
            <w:pPr>
              <w:tabs>
                <w:tab w:val="left" w:pos="7727"/>
              </w:tabs>
              <w:adjustRightInd w:val="0"/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病情指数(%)=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tabs>
                <w:tab w:val="left" w:pos="2958"/>
                <w:tab w:val="left" w:pos="7727"/>
              </w:tabs>
              <w:adjustRightIn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1×S1+2×S2+3×S3+4×S4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tabs>
                <w:tab w:val="left" w:pos="7727"/>
              </w:tabs>
              <w:adjustRightInd w:val="0"/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×100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60" w:type="dxa"/>
          </w:tcPr>
          <w:p>
            <w:pPr>
              <w:tabs>
                <w:tab w:val="left" w:pos="2958"/>
                <w:tab w:val="left" w:pos="7727"/>
              </w:tabs>
              <w:adjustRightIn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调查总株数×4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tabs>
          <w:tab w:val="left" w:pos="7727"/>
        </w:tabs>
        <w:adjustRightInd w:val="0"/>
        <w:spacing w:line="340" w:lineRule="exact"/>
        <w:ind w:firstLine="448" w:firstLineChars="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式中:S1、S2、S3、S4为1-4级各级病株数.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附录B：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云南省油菜品种试验记载本</w:t>
      </w:r>
    </w:p>
    <w:p>
      <w:pPr>
        <w:jc w:val="center"/>
        <w:rPr>
          <w:sz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10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试验组别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</w:t>
      </w:r>
    </w:p>
    <w:p>
      <w:pPr>
        <w:spacing w:line="10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承试单位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</w:t>
      </w:r>
    </w:p>
    <w:p>
      <w:pPr>
        <w:spacing w:line="10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试验地点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</w:t>
      </w:r>
    </w:p>
    <w:p>
      <w:pPr>
        <w:spacing w:line="10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海    拔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东经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北纬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</w:p>
    <w:p>
      <w:pPr>
        <w:spacing w:line="10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试验负责人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执行人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</w:p>
    <w:p>
      <w:pPr>
        <w:spacing w:line="10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执行人电话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</w:p>
    <w:p>
      <w:pPr>
        <w:spacing w:line="64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spacing w:line="64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一、试验设计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供试品种: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               对照品种名称: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重复次数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小区长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米；宽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米      小区面积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每小区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行、行距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、株距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密度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万株/亩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spacing w:line="640" w:lineRule="exact"/>
        <w:ind w:firstLine="1124" w:firstLineChars="4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二、栽培管理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1、前茬：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土质：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水（旱）地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2、基肥（种类、数量、质量、施用时间及方法）：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3、整地（时间、机具、次数及质量）：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4、种肥（种类、数量、施用时间及方法）：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5、种子处理：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6、播种期：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日、播种量：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、种植方式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</w:t>
      </w:r>
    </w:p>
    <w:p>
      <w:pPr>
        <w:spacing w:line="44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移栽时间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、间苗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、定苗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7、追肥（种类、数量、质量、施用时间及方法）：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8、中耕除草（时间、次数、药剂名称、浓度及方法）：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9、灌溉（时间、次数、方法）：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10、防治虫害（方法、对象、时间、药剂名称、浓度和方法）：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11、收获期：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12、其它：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三、田间种植图</w:t>
      </w:r>
    </w:p>
    <w:p>
      <w:pPr>
        <w:spacing w:line="44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（标注几组试验是否种植在同一田块，标注同一组试验三个重复是否在同一田块）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after="100" w:afterAutospacing="1"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四、油菜品种生育期及一致性调查表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（生育期记载：月/日）</w:t>
      </w:r>
    </w:p>
    <w:tbl>
      <w:tblPr>
        <w:tblStyle w:val="7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7"/>
        <w:gridCol w:w="655"/>
        <w:gridCol w:w="565"/>
        <w:gridCol w:w="600"/>
        <w:gridCol w:w="778"/>
        <w:gridCol w:w="758"/>
        <w:gridCol w:w="659"/>
        <w:gridCol w:w="689"/>
        <w:gridCol w:w="587"/>
        <w:gridCol w:w="567"/>
        <w:gridCol w:w="567"/>
        <w:gridCol w:w="567"/>
        <w:gridCol w:w="654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品种名称</w:t>
            </w:r>
          </w:p>
        </w:tc>
        <w:tc>
          <w:tcPr>
            <w:tcW w:w="6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播种期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出苗期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抽苔期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苗期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苔期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初花期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终花期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成熟期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收获期</w:t>
            </w:r>
          </w:p>
        </w:tc>
        <w:tc>
          <w:tcPr>
            <w:tcW w:w="654" w:type="dxa"/>
            <w:vMerge w:val="restart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成熟一致性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全生育数(天)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ind w:left="-72" w:leftChars="-30" w:right="-86" w:rightChars="-3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生长势</w:t>
            </w: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ind w:left="-84" w:leftChars="-35" w:right="-91" w:rightChars="-3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一致性</w:t>
            </w:r>
          </w:p>
        </w:tc>
        <w:tc>
          <w:tcPr>
            <w:tcW w:w="659" w:type="dxa"/>
            <w:vAlign w:val="center"/>
          </w:tcPr>
          <w:p>
            <w:pPr>
              <w:spacing w:line="300" w:lineRule="exact"/>
              <w:ind w:left="-89" w:leftChars="-37" w:right="-101" w:rightChars="-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生长势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ind w:left="-77" w:leftChars="-32" w:right="-113" w:rightChars="-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一致性</w:t>
            </w: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五、油菜品种抗逆及抗病性调查表</w:t>
      </w:r>
    </w:p>
    <w:tbl>
      <w:tblPr>
        <w:tblStyle w:val="7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4"/>
        <w:gridCol w:w="1384"/>
        <w:gridCol w:w="1447"/>
        <w:gridCol w:w="1384"/>
        <w:gridCol w:w="1385"/>
        <w:gridCol w:w="1298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3" w:hRule="atLeast"/>
          <w:jc w:val="center"/>
        </w:trPr>
        <w:tc>
          <w:tcPr>
            <w:tcW w:w="1154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品种名称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异型株率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（%）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抗倒性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(直、斜、倒)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菌核病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病毒病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发病率(%)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病情指数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发病率(%)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病情指数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15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11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1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11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15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11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1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11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after="100" w:afterAutospacing="1" w:line="5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六、油菜品种考种表</w:t>
      </w:r>
    </w:p>
    <w:tbl>
      <w:tblPr>
        <w:tblStyle w:val="7"/>
        <w:tblW w:w="9640" w:type="dxa"/>
        <w:tblInd w:w="-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702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18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品种名称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株高(cm)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一次有效分枝部位(cm)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一次有效分枝数(个)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单株有效角果数(个)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每角粒数(个)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千粒重(g)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单株产量(g)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6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注：千粒重保留2位小数，其余数据均保留1位小数。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spacing w:after="100" w:afterAutospacing="1" w:line="56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七、小区产量表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26"/>
        <w:gridCol w:w="927"/>
        <w:gridCol w:w="927"/>
        <w:gridCol w:w="921"/>
        <w:gridCol w:w="921"/>
        <w:gridCol w:w="921"/>
        <w:gridCol w:w="922"/>
        <w:gridCol w:w="709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品种名称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小区产量（kg）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折合亩产（kg/667㎡）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比对照+℅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产量位次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Ⅰ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Ⅰ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平均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注：小区产量保留2位小数，请按主持单位给出的顺序填写。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八、气候对油菜生长和产量形成的影响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（分不同生育期作详细文字说明）：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九、参试品种的优缺点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（重点评述品种主要优缺点，如在本试点倒伏、冻害、早苔早花、杂型株率等）：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56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F32CD"/>
    <w:multiLevelType w:val="singleLevel"/>
    <w:tmpl w:val="B45F32CD"/>
    <w:lvl w:ilvl="0" w:tentative="0">
      <w:start w:val="2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abstractNum w:abstractNumId="1">
    <w:nsid w:val="200EA7D5"/>
    <w:multiLevelType w:val="singleLevel"/>
    <w:tmpl w:val="200EA7D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yYzQ0NzI0NDQzNzZmNWEzZDdmMWU0MDZkMTM5OWYifQ=="/>
  </w:docVars>
  <w:rsids>
    <w:rsidRoot w:val="00EB4771"/>
    <w:rsid w:val="00035DB5"/>
    <w:rsid w:val="001257D2"/>
    <w:rsid w:val="00187B35"/>
    <w:rsid w:val="002F4112"/>
    <w:rsid w:val="00424121"/>
    <w:rsid w:val="00426BDD"/>
    <w:rsid w:val="004E38C4"/>
    <w:rsid w:val="005269AB"/>
    <w:rsid w:val="00543FC2"/>
    <w:rsid w:val="00566CDF"/>
    <w:rsid w:val="00675072"/>
    <w:rsid w:val="00714F68"/>
    <w:rsid w:val="00746CE4"/>
    <w:rsid w:val="007E62B3"/>
    <w:rsid w:val="007F0245"/>
    <w:rsid w:val="00883FF1"/>
    <w:rsid w:val="00AC4503"/>
    <w:rsid w:val="00AD53E2"/>
    <w:rsid w:val="00B45A96"/>
    <w:rsid w:val="00D20B4D"/>
    <w:rsid w:val="00EB4771"/>
    <w:rsid w:val="039B791C"/>
    <w:rsid w:val="043F00A2"/>
    <w:rsid w:val="04C133B2"/>
    <w:rsid w:val="052857AE"/>
    <w:rsid w:val="0884014E"/>
    <w:rsid w:val="090E6E51"/>
    <w:rsid w:val="09BE6968"/>
    <w:rsid w:val="0C2369B2"/>
    <w:rsid w:val="0EFA696C"/>
    <w:rsid w:val="0FDC5BFA"/>
    <w:rsid w:val="13F13588"/>
    <w:rsid w:val="152B3223"/>
    <w:rsid w:val="190E0109"/>
    <w:rsid w:val="2A1C442B"/>
    <w:rsid w:val="2A611BA7"/>
    <w:rsid w:val="2B5D4F56"/>
    <w:rsid w:val="2C3A0FB4"/>
    <w:rsid w:val="2E7F3812"/>
    <w:rsid w:val="31550BF3"/>
    <w:rsid w:val="31815AF3"/>
    <w:rsid w:val="34F6397C"/>
    <w:rsid w:val="392576AC"/>
    <w:rsid w:val="394E09B1"/>
    <w:rsid w:val="3C3C56C1"/>
    <w:rsid w:val="3F663B41"/>
    <w:rsid w:val="3FD43660"/>
    <w:rsid w:val="4C4B2C85"/>
    <w:rsid w:val="4D0024E0"/>
    <w:rsid w:val="53950EFF"/>
    <w:rsid w:val="594E6C9A"/>
    <w:rsid w:val="5A582FE6"/>
    <w:rsid w:val="5AC16DDD"/>
    <w:rsid w:val="5C1B076F"/>
    <w:rsid w:val="5D867E6A"/>
    <w:rsid w:val="630A3743"/>
    <w:rsid w:val="641C78DC"/>
    <w:rsid w:val="65F938CF"/>
    <w:rsid w:val="663C41E9"/>
    <w:rsid w:val="66E6746C"/>
    <w:rsid w:val="671C739D"/>
    <w:rsid w:val="67492D13"/>
    <w:rsid w:val="6754503C"/>
    <w:rsid w:val="6B686E01"/>
    <w:rsid w:val="6BBC6879"/>
    <w:rsid w:val="6CA6110E"/>
    <w:rsid w:val="71B24806"/>
    <w:rsid w:val="720C6738"/>
    <w:rsid w:val="7726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uiPriority w:val="99"/>
    <w:pPr>
      <w:spacing w:after="120"/>
    </w:pPr>
  </w:style>
  <w:style w:type="paragraph" w:styleId="3">
    <w:name w:val="Body Text Indent 2"/>
    <w:basedOn w:val="1"/>
    <w:link w:val="10"/>
    <w:qFormat/>
    <w:uiPriority w:val="0"/>
    <w:pPr>
      <w:spacing w:after="120" w:line="480" w:lineRule="auto"/>
      <w:ind w:left="420" w:leftChars="200"/>
    </w:pPr>
    <w:rPr>
      <w:sz w:val="21"/>
      <w:szCs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2 Char"/>
    <w:basedOn w:val="9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正文文本缩进 3 Char"/>
    <w:basedOn w:val="9"/>
    <w:link w:val="6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">
    <w:name w:val="正文文本 Char"/>
    <w:basedOn w:val="9"/>
    <w:link w:val="2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页眉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1343</Words>
  <Characters>7657</Characters>
  <Lines>63</Lines>
  <Paragraphs>17</Paragraphs>
  <TotalTime>9</TotalTime>
  <ScaleCrop>false</ScaleCrop>
  <LinksUpToDate>false</LinksUpToDate>
  <CharactersWithSpaces>8983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2023-08-03T02:46:00Z</dcterms:created>
  <dc:creator>微软用户</dc:creator>
  <cp:lastModifiedBy>温宪勤</cp:lastModifiedBy>
  <dcterms:modified xsi:type="dcterms:W3CDTF">2024-09-26T01:18:44Z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7D0FD6B5F06E4AC38A224ED46FAB09FB_12</vt:lpwstr>
  </property>
</Properties>
</file>